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tblGrid>
      <w:tr w:rsidR="0036227A" w:rsidRPr="00B93C67" w:rsidTr="006357D0">
        <w:trPr>
          <w:trHeight w:val="416"/>
        </w:trPr>
        <w:tc>
          <w:tcPr>
            <w:tcW w:w="11619" w:type="dxa"/>
            <w:vAlign w:val="center"/>
          </w:tcPr>
          <w:p w:rsidR="00C22F22" w:rsidRPr="00C22F22" w:rsidRDefault="00AF0DC1" w:rsidP="00AF0DC1">
            <w:pPr>
              <w:pStyle w:val="Heading2"/>
              <w:numPr>
                <w:ilvl w:val="0"/>
                <w:numId w:val="0"/>
              </w:numPr>
              <w:tabs>
                <w:tab w:val="center" w:pos="7527"/>
              </w:tabs>
              <w:jc w:val="center"/>
              <w:rPr>
                <w:b w:val="0"/>
                <w:szCs w:val="24"/>
                <w:lang w:eastAsia="ar-SA"/>
              </w:rPr>
            </w:pPr>
            <w:bookmarkStart w:id="0" w:name="_Toc366510879"/>
            <w:bookmarkStart w:id="1" w:name="_Toc523476199"/>
            <w:r>
              <w:rPr>
                <w:rFonts w:eastAsia="Times New Roman"/>
                <w:color w:val="auto"/>
                <w:lang w:eastAsia="ar-SA"/>
              </w:rPr>
              <w:t xml:space="preserve">BaSO-D: </w:t>
            </w:r>
            <w:r w:rsidR="0036227A" w:rsidRPr="000754AF">
              <w:rPr>
                <w:rFonts w:eastAsia="Times New Roman"/>
                <w:color w:val="auto"/>
                <w:lang w:eastAsia="ar-SA"/>
              </w:rPr>
              <w:t>Competentieprofiel</w:t>
            </w:r>
            <w:bookmarkEnd w:id="0"/>
            <w:bookmarkEnd w:id="1"/>
            <w:r w:rsidR="00C22F22" w:rsidRPr="00C22F22">
              <w:rPr>
                <w:rFonts w:eastAsia="Times New Roman"/>
                <w:color w:val="auto"/>
                <w:lang w:eastAsia="ar-SA"/>
              </w:rPr>
              <w:sym w:font="Wingdings" w:char="F0E0"/>
            </w:r>
            <w:r w:rsidR="00C22F22">
              <w:rPr>
                <w:rFonts w:eastAsia="Times New Roman"/>
                <w:color w:val="auto"/>
                <w:lang w:eastAsia="ar-SA"/>
              </w:rPr>
              <w:t xml:space="preserve"> Domeinspecifieke lee</w:t>
            </w:r>
            <w:r>
              <w:rPr>
                <w:rFonts w:eastAsia="Times New Roman"/>
                <w:color w:val="auto"/>
                <w:lang w:eastAsia="ar-SA"/>
              </w:rPr>
              <w:t>rdoelen voor bewegingsrecreatie</w:t>
            </w:r>
          </w:p>
        </w:tc>
      </w:tr>
    </w:tbl>
    <w:p w:rsidR="00C22F22" w:rsidRDefault="00C22F22" w:rsidP="0036227A">
      <w:pPr>
        <w:suppressAutoHyphens/>
        <w:spacing w:line="240" w:lineRule="auto"/>
        <w:rPr>
          <w:rFonts w:eastAsia="Times New Roman" w:cs="Times New Roman"/>
          <w:spacing w:val="-2"/>
          <w:szCs w:val="20"/>
          <w:lang w:val="nl-NL" w:eastAsia="ar-SA"/>
        </w:rPr>
      </w:pPr>
    </w:p>
    <w:p w:rsidR="0036227A" w:rsidRPr="00AF0DC1" w:rsidRDefault="0036227A" w:rsidP="0036227A">
      <w:pPr>
        <w:suppressAutoHyphens/>
        <w:spacing w:line="240" w:lineRule="auto"/>
        <w:rPr>
          <w:rFonts w:eastAsia="Times New Roman" w:cs="Times New Roman"/>
          <w:spacing w:val="-2"/>
          <w:sz w:val="21"/>
          <w:szCs w:val="21"/>
          <w:lang w:val="nl-NL" w:eastAsia="ar-SA"/>
        </w:rPr>
      </w:pPr>
      <w:r w:rsidRPr="00AF0DC1">
        <w:rPr>
          <w:rFonts w:eastAsia="Times New Roman" w:cs="Times New Roman"/>
          <w:spacing w:val="-2"/>
          <w:sz w:val="21"/>
          <w:szCs w:val="21"/>
          <w:lang w:val="nl-NL" w:eastAsia="ar-SA"/>
        </w:rPr>
        <w:t>Basiscompetenties te bereiken door</w:t>
      </w:r>
      <w:r w:rsidR="00AF0DC1" w:rsidRPr="00AF0DC1">
        <w:rPr>
          <w:rFonts w:eastAsia="Times New Roman" w:cs="Times New Roman"/>
          <w:spacing w:val="-2"/>
          <w:sz w:val="21"/>
          <w:szCs w:val="21"/>
          <w:lang w:val="nl-NL" w:eastAsia="ar-SA"/>
        </w:rPr>
        <w:t xml:space="preserve"> de stagiair bewegingsrecreatie:</w:t>
      </w:r>
    </w:p>
    <w:p w:rsidR="00AF0DC1" w:rsidRDefault="00AF0DC1" w:rsidP="0036227A">
      <w:pPr>
        <w:suppressAutoHyphens/>
        <w:spacing w:line="240" w:lineRule="auto"/>
        <w:rPr>
          <w:rFonts w:eastAsia="Times New Roman" w:cs="Times New Roman"/>
          <w:b/>
          <w:spacing w:val="-2"/>
          <w:sz w:val="21"/>
          <w:szCs w:val="21"/>
          <w:u w:val="single"/>
          <w:lang w:val="nl-NL" w:eastAsia="ar-SA"/>
        </w:rPr>
      </w:pPr>
    </w:p>
    <w:p w:rsidR="0036227A" w:rsidRPr="00AF0DC1" w:rsidRDefault="0036227A" w:rsidP="0036227A">
      <w:pPr>
        <w:suppressAutoHyphens/>
        <w:spacing w:line="240" w:lineRule="auto"/>
        <w:rPr>
          <w:rFonts w:eastAsia="Times New Roman" w:cs="Times New Roman"/>
          <w:b/>
          <w:spacing w:val="-2"/>
          <w:sz w:val="21"/>
          <w:szCs w:val="21"/>
          <w:u w:val="single"/>
          <w:lang w:val="nl-NL" w:eastAsia="ar-SA"/>
        </w:rPr>
      </w:pPr>
      <w:r w:rsidRPr="00AF0DC1">
        <w:rPr>
          <w:rFonts w:eastAsia="Times New Roman" w:cs="Times New Roman"/>
          <w:b/>
          <w:spacing w:val="-2"/>
          <w:sz w:val="21"/>
          <w:szCs w:val="21"/>
          <w:u w:val="single"/>
          <w:lang w:val="nl-NL" w:eastAsia="ar-SA"/>
        </w:rPr>
        <w:t xml:space="preserve">volgens de niveaus: </w:t>
      </w:r>
    </w:p>
    <w:p w:rsidR="0036227A" w:rsidRPr="00AF0DC1" w:rsidRDefault="0036227A" w:rsidP="0036227A">
      <w:pPr>
        <w:numPr>
          <w:ilvl w:val="0"/>
          <w:numId w:val="1"/>
        </w:numPr>
        <w:suppressAutoHyphens/>
        <w:spacing w:line="240" w:lineRule="auto"/>
        <w:rPr>
          <w:rFonts w:eastAsia="Times New Roman" w:cs="Times New Roman"/>
          <w:spacing w:val="-2"/>
          <w:sz w:val="21"/>
          <w:szCs w:val="21"/>
          <w:lang w:val="nl-NL" w:eastAsia="ar-SA"/>
        </w:rPr>
      </w:pPr>
      <w:r w:rsidRPr="00AF0DC1">
        <w:rPr>
          <w:rFonts w:eastAsia="Times New Roman" w:cs="Times New Roman"/>
          <w:spacing w:val="-2"/>
          <w:sz w:val="21"/>
          <w:szCs w:val="21"/>
          <w:lang w:val="nl-NL" w:eastAsia="ar-SA"/>
        </w:rPr>
        <w:t>Niveau 1: Basisniveau (1)</w:t>
      </w:r>
    </w:p>
    <w:p w:rsidR="0036227A" w:rsidRPr="00AF0DC1" w:rsidRDefault="0036227A" w:rsidP="0036227A">
      <w:pPr>
        <w:numPr>
          <w:ilvl w:val="0"/>
          <w:numId w:val="1"/>
        </w:numPr>
        <w:suppressAutoHyphens/>
        <w:spacing w:line="240" w:lineRule="auto"/>
        <w:rPr>
          <w:rFonts w:eastAsia="Times New Roman" w:cs="Times New Roman"/>
          <w:spacing w:val="-2"/>
          <w:sz w:val="21"/>
          <w:szCs w:val="21"/>
          <w:lang w:val="nl-NL" w:eastAsia="ar-SA"/>
        </w:rPr>
      </w:pPr>
      <w:r w:rsidRPr="00AF0DC1">
        <w:rPr>
          <w:rFonts w:eastAsia="Times New Roman" w:cs="Times New Roman"/>
          <w:spacing w:val="-2"/>
          <w:sz w:val="21"/>
          <w:szCs w:val="21"/>
          <w:lang w:val="nl-NL" w:eastAsia="ar-SA"/>
        </w:rPr>
        <w:t>Niveau 2: Doorgroeiniveau (2)</w:t>
      </w:r>
    </w:p>
    <w:p w:rsidR="0036227A" w:rsidRPr="00AF0DC1" w:rsidRDefault="0036227A" w:rsidP="0036227A">
      <w:pPr>
        <w:numPr>
          <w:ilvl w:val="0"/>
          <w:numId w:val="1"/>
        </w:numPr>
        <w:suppressAutoHyphens/>
        <w:spacing w:before="100" w:beforeAutospacing="1" w:after="100" w:afterAutospacing="1" w:line="240" w:lineRule="exact"/>
        <w:rPr>
          <w:rFonts w:eastAsia="Times New Roman" w:cs="Times New Roman"/>
          <w:i/>
          <w:sz w:val="21"/>
          <w:szCs w:val="21"/>
          <w:u w:val="single"/>
          <w:lang w:val="nl-NL" w:eastAsia="nl-NL"/>
        </w:rPr>
      </w:pPr>
      <w:r w:rsidRPr="00AF0DC1">
        <w:rPr>
          <w:rFonts w:eastAsia="Times New Roman" w:cs="Times New Roman"/>
          <w:spacing w:val="-2"/>
          <w:sz w:val="21"/>
          <w:szCs w:val="21"/>
          <w:lang w:val="nl-NL" w:eastAsia="ar-SA"/>
        </w:rPr>
        <w:t>Niveau 3: Gevorderd niveau (3)</w:t>
      </w:r>
    </w:p>
    <w:p w:rsidR="0036227A" w:rsidRPr="00AF0DC1" w:rsidRDefault="0036227A" w:rsidP="0036227A">
      <w:pPr>
        <w:suppressAutoHyphens/>
        <w:spacing w:line="240" w:lineRule="auto"/>
        <w:rPr>
          <w:rFonts w:eastAsia="Times New Roman" w:cs="Times New Roman"/>
          <w:b/>
          <w:i/>
          <w:sz w:val="21"/>
          <w:szCs w:val="21"/>
          <w:u w:val="single"/>
          <w:lang w:val="nl-NL" w:eastAsia="nl-NL"/>
        </w:rPr>
      </w:pPr>
      <w:r w:rsidRPr="00AF0DC1">
        <w:rPr>
          <w:rFonts w:eastAsia="Times New Roman" w:cs="Times New Roman"/>
          <w:b/>
          <w:i/>
          <w:sz w:val="21"/>
          <w:szCs w:val="21"/>
          <w:u w:val="single"/>
          <w:lang w:val="nl-NL" w:eastAsia="nl-NL"/>
        </w:rPr>
        <w:t>De stagiair zal, afhankelijk van het type stage,  optreden als:</w:t>
      </w:r>
    </w:p>
    <w:p w:rsidR="0036227A" w:rsidRPr="00AF0DC1" w:rsidRDefault="0036227A" w:rsidP="0036227A">
      <w:pPr>
        <w:pStyle w:val="ListParagraph"/>
        <w:numPr>
          <w:ilvl w:val="0"/>
          <w:numId w:val="1"/>
        </w:numPr>
        <w:suppressAutoHyphens/>
        <w:spacing w:line="240" w:lineRule="auto"/>
        <w:ind w:left="357" w:hanging="357"/>
        <w:rPr>
          <w:rFonts w:eastAsia="Times New Roman" w:cs="Times New Roman"/>
          <w:i/>
          <w:sz w:val="21"/>
          <w:szCs w:val="21"/>
          <w:lang w:val="nl-NL" w:eastAsia="nl-NL"/>
        </w:rPr>
      </w:pPr>
      <w:r w:rsidRPr="00AF0DC1">
        <w:rPr>
          <w:rFonts w:eastAsia="Times New Roman" w:cs="Times New Roman"/>
          <w:i/>
          <w:sz w:val="21"/>
          <w:szCs w:val="21"/>
          <w:lang w:val="nl-NL" w:eastAsia="nl-NL"/>
        </w:rPr>
        <w:t>lesgever  - didacticus</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opvoeder, coach, begeleider</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sport - en bewegingsdeskundige</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organisator</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innovator - als onderzoeker</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partner van ouders / verzorgers / deelnemers</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lid van een team, organisatie</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partner van externen</w:t>
      </w:r>
    </w:p>
    <w:p w:rsidR="0036227A" w:rsidRPr="00AF0DC1" w:rsidRDefault="0036227A" w:rsidP="0036227A">
      <w:pPr>
        <w:pStyle w:val="ListParagraph"/>
        <w:numPr>
          <w:ilvl w:val="0"/>
          <w:numId w:val="1"/>
        </w:numPr>
        <w:suppressAutoHyphens/>
        <w:spacing w:before="100" w:beforeAutospacing="1" w:after="100" w:afterAutospacing="1" w:line="240" w:lineRule="exact"/>
        <w:rPr>
          <w:rFonts w:eastAsia="Times New Roman" w:cs="Times New Roman"/>
          <w:i/>
          <w:sz w:val="21"/>
          <w:szCs w:val="21"/>
          <w:lang w:val="nl-NL" w:eastAsia="nl-NL"/>
        </w:rPr>
      </w:pPr>
      <w:r w:rsidRPr="00AF0DC1">
        <w:rPr>
          <w:rFonts w:eastAsia="Times New Roman" w:cs="Times New Roman"/>
          <w:i/>
          <w:sz w:val="21"/>
          <w:szCs w:val="21"/>
          <w:lang w:val="nl-NL" w:eastAsia="nl-NL"/>
        </w:rPr>
        <w:t>lid van de gemeenschap en cultuurparticipant</w:t>
      </w:r>
    </w:p>
    <w:p w:rsidR="0036227A" w:rsidRPr="00AF0DC1" w:rsidRDefault="0036227A" w:rsidP="0036227A">
      <w:pPr>
        <w:suppressAutoHyphens/>
        <w:spacing w:line="240" w:lineRule="auto"/>
        <w:rPr>
          <w:rFonts w:eastAsia="Times New Roman" w:cs="Times New Roman"/>
          <w:b/>
          <w:i/>
          <w:sz w:val="21"/>
          <w:szCs w:val="21"/>
          <w:lang w:val="nl-NL" w:eastAsia="nl-NL"/>
        </w:rPr>
      </w:pPr>
      <w:r w:rsidRPr="00AF0DC1">
        <w:rPr>
          <w:rFonts w:eastAsia="Times New Roman" w:cs="Times New Roman"/>
          <w:b/>
          <w:i/>
          <w:sz w:val="21"/>
          <w:szCs w:val="21"/>
          <w:lang w:val="nl-NL" w:eastAsia="nl-NL"/>
        </w:rPr>
        <w:t>en de hierbij verwachte basiscompetenties met de beroepshoudingen volgens het aangeduide niveau verwerven:</w:t>
      </w:r>
    </w:p>
    <w:p w:rsidR="00C22F22" w:rsidRDefault="00C22F22" w:rsidP="0036227A">
      <w:pPr>
        <w:suppressAutoHyphens/>
        <w:spacing w:line="240" w:lineRule="auto"/>
        <w:rPr>
          <w:rFonts w:eastAsia="Times New Roman" w:cs="Times New Roman"/>
          <w:b/>
          <w:i/>
          <w:szCs w:val="20"/>
          <w:lang w:val="nl-NL" w:eastAsia="nl-NL"/>
        </w:rPr>
      </w:pPr>
    </w:p>
    <w:p w:rsidR="00C22F22" w:rsidRDefault="00C22F22" w:rsidP="0036227A">
      <w:pPr>
        <w:suppressAutoHyphens/>
        <w:spacing w:line="240" w:lineRule="auto"/>
        <w:rPr>
          <w:rFonts w:eastAsia="Times New Roman" w:cs="Times New Roman"/>
          <w:b/>
          <w:i/>
          <w:szCs w:val="20"/>
          <w:lang w:val="nl-NL" w:eastAsia="nl-NL"/>
        </w:rPr>
      </w:pPr>
    </w:p>
    <w:p w:rsidR="00C22F22" w:rsidRDefault="00C22F22" w:rsidP="0036227A">
      <w:pPr>
        <w:suppressAutoHyphens/>
        <w:spacing w:line="240" w:lineRule="auto"/>
        <w:rPr>
          <w:rFonts w:eastAsia="Times New Roman" w:cs="Times New Roman"/>
          <w:b/>
          <w:i/>
          <w:szCs w:val="20"/>
          <w:lang w:val="nl-NL" w:eastAsia="nl-NL"/>
        </w:rPr>
      </w:pPr>
    </w:p>
    <w:p w:rsidR="00C22F22" w:rsidRDefault="00C22F22" w:rsidP="0036227A">
      <w:pPr>
        <w:suppressAutoHyphens/>
        <w:spacing w:line="240" w:lineRule="auto"/>
        <w:rPr>
          <w:rFonts w:eastAsia="Times New Roman" w:cs="Times New Roman"/>
          <w:b/>
          <w:i/>
          <w:szCs w:val="20"/>
          <w:lang w:val="nl-NL" w:eastAsia="nl-NL"/>
        </w:rPr>
      </w:pPr>
    </w:p>
    <w:p w:rsidR="00C22F22" w:rsidRDefault="00C22F22" w:rsidP="0036227A">
      <w:pPr>
        <w:suppressAutoHyphens/>
        <w:spacing w:line="240" w:lineRule="auto"/>
        <w:rPr>
          <w:rFonts w:eastAsia="Times New Roman" w:cs="Times New Roman"/>
          <w:b/>
          <w:i/>
          <w:szCs w:val="20"/>
          <w:lang w:val="nl-NL" w:eastAsia="nl-NL"/>
        </w:rPr>
      </w:pPr>
    </w:p>
    <w:p w:rsidR="00C22F22" w:rsidRDefault="00C22F22" w:rsidP="0036227A">
      <w:pPr>
        <w:suppressAutoHyphens/>
        <w:spacing w:line="240" w:lineRule="auto"/>
        <w:rPr>
          <w:rFonts w:eastAsia="Times New Roman" w:cs="Times New Roman"/>
          <w:b/>
          <w:i/>
          <w:szCs w:val="20"/>
          <w:lang w:val="nl-NL" w:eastAsia="nl-NL"/>
        </w:rPr>
      </w:pPr>
    </w:p>
    <w:p w:rsidR="00C22F22" w:rsidRDefault="00C22F22" w:rsidP="0036227A">
      <w:pPr>
        <w:suppressAutoHyphens/>
        <w:spacing w:line="240" w:lineRule="auto"/>
        <w:rPr>
          <w:rFonts w:eastAsia="Times New Roman" w:cs="Times New Roman"/>
          <w:b/>
          <w:spacing w:val="-2"/>
          <w:szCs w:val="20"/>
          <w:lang w:val="nl-NL" w:eastAsia="ar-SA"/>
        </w:rPr>
      </w:pPr>
    </w:p>
    <w:p w:rsidR="00C22F22" w:rsidRDefault="00C22F22">
      <w:pPr>
        <w:spacing w:after="160" w:line="259" w:lineRule="auto"/>
        <w:rPr>
          <w:rFonts w:eastAsia="Times New Roman" w:cs="Times New Roman"/>
          <w:b/>
          <w:spacing w:val="-2"/>
          <w:szCs w:val="20"/>
          <w:lang w:val="nl-NL" w:eastAsia="ar-SA"/>
        </w:rPr>
      </w:pPr>
      <w:r>
        <w:rPr>
          <w:rFonts w:eastAsia="Times New Roman" w:cs="Times New Roman"/>
          <w:b/>
          <w:spacing w:val="-2"/>
          <w:szCs w:val="20"/>
          <w:lang w:val="nl-NL" w:eastAsia="ar-SA"/>
        </w:rPr>
        <w:br w:type="page"/>
      </w:r>
    </w:p>
    <w:tbl>
      <w:tblPr>
        <w:tblStyle w:val="TableGrid"/>
        <w:tblW w:w="14596" w:type="dxa"/>
        <w:tblLook w:val="04A0" w:firstRow="1" w:lastRow="0" w:firstColumn="1" w:lastColumn="0" w:noHBand="0" w:noVBand="1"/>
      </w:tblPr>
      <w:tblGrid>
        <w:gridCol w:w="4957"/>
        <w:gridCol w:w="6945"/>
        <w:gridCol w:w="851"/>
        <w:gridCol w:w="850"/>
        <w:gridCol w:w="993"/>
      </w:tblGrid>
      <w:tr w:rsidR="007538A3" w:rsidTr="007538A3">
        <w:trPr>
          <w:trHeight w:val="416"/>
        </w:trPr>
        <w:tc>
          <w:tcPr>
            <w:tcW w:w="4957" w:type="dxa"/>
            <w:shd w:val="clear" w:color="auto" w:fill="9CC2E5" w:themeFill="accent1" w:themeFillTint="99"/>
          </w:tcPr>
          <w:p w:rsidR="007538A3" w:rsidRPr="007538A3" w:rsidRDefault="007538A3" w:rsidP="007538A3">
            <w:pPr>
              <w:suppressAutoHyphens/>
              <w:spacing w:line="480" w:lineRule="auto"/>
              <w:jc w:val="center"/>
              <w:rPr>
                <w:rFonts w:eastAsia="Times New Roman" w:cs="Times New Roman"/>
                <w:b/>
                <w:szCs w:val="20"/>
                <w:lang w:val="nl-NL" w:eastAsia="ar-SA"/>
              </w:rPr>
            </w:pPr>
            <w:r w:rsidRPr="007538A3">
              <w:rPr>
                <w:rFonts w:eastAsia="Times New Roman" w:cs="Times New Roman"/>
                <w:b/>
                <w:szCs w:val="20"/>
                <w:lang w:val="nl-NL" w:eastAsia="ar-SA"/>
              </w:rPr>
              <w:t>Competenties</w:t>
            </w:r>
          </w:p>
        </w:tc>
        <w:tc>
          <w:tcPr>
            <w:tcW w:w="6945" w:type="dxa"/>
            <w:shd w:val="clear" w:color="auto" w:fill="9CC2E5" w:themeFill="accent1" w:themeFillTint="99"/>
          </w:tcPr>
          <w:p w:rsidR="007538A3" w:rsidRPr="007538A3" w:rsidRDefault="007538A3" w:rsidP="007538A3">
            <w:pPr>
              <w:suppressAutoHyphens/>
              <w:spacing w:line="240" w:lineRule="auto"/>
              <w:jc w:val="center"/>
              <w:rPr>
                <w:rFonts w:eastAsia="Times New Roman" w:cs="Times New Roman"/>
                <w:b/>
                <w:szCs w:val="20"/>
                <w:lang w:val="nl-NL" w:eastAsia="ar-SA"/>
              </w:rPr>
            </w:pPr>
            <w:r w:rsidRPr="007538A3">
              <w:rPr>
                <w:rFonts w:eastAsia="Times New Roman" w:cs="Times New Roman"/>
                <w:b/>
                <w:szCs w:val="20"/>
                <w:lang w:val="nl-NL" w:eastAsia="ar-SA"/>
              </w:rPr>
              <w:t>DLR voor BR</w:t>
            </w:r>
          </w:p>
        </w:tc>
        <w:tc>
          <w:tcPr>
            <w:tcW w:w="851" w:type="dxa"/>
            <w:shd w:val="clear" w:color="auto" w:fill="9CC2E5" w:themeFill="accent1" w:themeFillTint="99"/>
          </w:tcPr>
          <w:p w:rsidR="007538A3" w:rsidRPr="007538A3" w:rsidRDefault="007538A3" w:rsidP="007538A3">
            <w:pPr>
              <w:suppressAutoHyphens/>
              <w:spacing w:line="240" w:lineRule="auto"/>
              <w:jc w:val="center"/>
              <w:rPr>
                <w:rFonts w:eastAsia="Times New Roman" w:cs="Times New Roman"/>
                <w:b/>
                <w:szCs w:val="20"/>
                <w:lang w:val="nl-NL" w:eastAsia="ar-SA"/>
              </w:rPr>
            </w:pPr>
            <w:r w:rsidRPr="007538A3">
              <w:rPr>
                <w:rFonts w:eastAsia="Times New Roman" w:cs="Times New Roman"/>
                <w:b/>
                <w:szCs w:val="20"/>
                <w:lang w:val="nl-NL" w:eastAsia="ar-SA"/>
              </w:rPr>
              <w:t>1BR</w:t>
            </w:r>
          </w:p>
        </w:tc>
        <w:tc>
          <w:tcPr>
            <w:tcW w:w="850" w:type="dxa"/>
            <w:shd w:val="clear" w:color="auto" w:fill="9CC2E5" w:themeFill="accent1" w:themeFillTint="99"/>
          </w:tcPr>
          <w:p w:rsidR="007538A3" w:rsidRPr="007538A3" w:rsidRDefault="007538A3" w:rsidP="007538A3">
            <w:pPr>
              <w:suppressAutoHyphens/>
              <w:spacing w:line="240" w:lineRule="auto"/>
              <w:jc w:val="center"/>
              <w:rPr>
                <w:rFonts w:eastAsia="Times New Roman" w:cs="Times New Roman"/>
                <w:b/>
                <w:szCs w:val="20"/>
                <w:lang w:val="nl-NL" w:eastAsia="ar-SA"/>
              </w:rPr>
            </w:pPr>
            <w:r w:rsidRPr="007538A3">
              <w:rPr>
                <w:rFonts w:eastAsia="Times New Roman" w:cs="Times New Roman"/>
                <w:b/>
                <w:szCs w:val="20"/>
                <w:lang w:val="nl-NL" w:eastAsia="ar-SA"/>
              </w:rPr>
              <w:t>2BR</w:t>
            </w:r>
          </w:p>
        </w:tc>
        <w:tc>
          <w:tcPr>
            <w:tcW w:w="993" w:type="dxa"/>
            <w:shd w:val="clear" w:color="auto" w:fill="9CC2E5" w:themeFill="accent1" w:themeFillTint="99"/>
          </w:tcPr>
          <w:p w:rsidR="007538A3" w:rsidRPr="007538A3" w:rsidRDefault="007538A3" w:rsidP="007538A3">
            <w:pPr>
              <w:suppressAutoHyphens/>
              <w:spacing w:line="240" w:lineRule="auto"/>
              <w:jc w:val="center"/>
              <w:rPr>
                <w:rFonts w:eastAsia="Times New Roman" w:cs="Times New Roman"/>
                <w:b/>
                <w:szCs w:val="20"/>
                <w:lang w:val="nl-NL" w:eastAsia="ar-SA"/>
              </w:rPr>
            </w:pPr>
            <w:r w:rsidRPr="007538A3">
              <w:rPr>
                <w:rFonts w:eastAsia="Times New Roman" w:cs="Times New Roman"/>
                <w:b/>
                <w:szCs w:val="20"/>
                <w:lang w:val="nl-NL" w:eastAsia="ar-SA"/>
              </w:rPr>
              <w:t>3BR</w:t>
            </w:r>
          </w:p>
        </w:tc>
      </w:tr>
      <w:tr w:rsidR="00AF0DC1" w:rsidRPr="0089003B" w:rsidTr="00AF0DC1">
        <w:trPr>
          <w:trHeight w:val="340"/>
        </w:trPr>
        <w:tc>
          <w:tcPr>
            <w:tcW w:w="4957" w:type="dxa"/>
            <w:vMerge w:val="restart"/>
            <w:tcBorders>
              <w:bottom w:val="nil"/>
            </w:tcBorders>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u w:val="single"/>
                <w:lang w:eastAsia="ar-SA"/>
              </w:rPr>
              <w:t xml:space="preserve">1. Begeleider  van leer-en ontwikkelingsprocessen </w:t>
            </w:r>
            <w:r w:rsidRPr="0089003B">
              <w:rPr>
                <w:rFonts w:eastAsia="Times New Roman" w:cs="Times New Roman"/>
                <w:b/>
                <w:bCs/>
                <w:spacing w:val="-2"/>
                <w:szCs w:val="20"/>
                <w:lang w:eastAsia="ar-SA"/>
              </w:rPr>
              <w:br/>
              <w:t>De Bachelor in het Onderwijs: Secundair Onderwijs formuleert concrete doelstellingen, ontwerpt krachtige en stimulerende leeromgevingen in een veilig en ondersteunend klasklimaat, gebruikt passende werkvormen en een correcte  evaluatiemethodiek ter ondersteuning van het leer</w:t>
            </w:r>
            <w:r w:rsidRPr="0089003B">
              <w:rPr>
                <w:rFonts w:eastAsia="Times New Roman" w:cs="Times New Roman"/>
                <w:b/>
                <w:bCs/>
                <w:spacing w:val="-2"/>
                <w:szCs w:val="20"/>
                <w:lang w:eastAsia="ar-SA"/>
              </w:rPr>
              <w:br/>
              <w:t>- en ontwikkelingsproces. Hij neemt hierbij als uitgangspunt de klasgroep en de individuele leerling en differentieert waar nodig.</w:t>
            </w:r>
          </w:p>
        </w:tc>
        <w:tc>
          <w:tcPr>
            <w:tcW w:w="6945" w:type="dxa"/>
            <w:tcBorders>
              <w:bottom w:val="nil"/>
            </w:tcBorders>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1.1 achterhaalt de beginsituatie van de leerling en de leergroep.</w:t>
            </w:r>
          </w:p>
        </w:tc>
        <w:tc>
          <w:tcPr>
            <w:tcW w:w="851" w:type="dxa"/>
            <w:tcBorders>
              <w:bottom w:val="nil"/>
            </w:tcBorders>
          </w:tcPr>
          <w:p w:rsidR="00AF0DC1" w:rsidRPr="0089003B" w:rsidRDefault="00AF0DC1" w:rsidP="006357D0">
            <w:pPr>
              <w:jc w:val="center"/>
              <w:rPr>
                <w:rFonts w:eastAsia="Times New Roman" w:cs="Times New Roman"/>
                <w:b/>
                <w:spacing w:val="-2"/>
                <w:szCs w:val="20"/>
                <w:lang w:eastAsia="ar-SA"/>
              </w:rPr>
            </w:pPr>
          </w:p>
        </w:tc>
        <w:tc>
          <w:tcPr>
            <w:tcW w:w="850" w:type="dxa"/>
            <w:tcBorders>
              <w:bottom w:val="nil"/>
            </w:tcBorders>
          </w:tcPr>
          <w:p w:rsidR="00AF0DC1" w:rsidRPr="0089003B" w:rsidRDefault="00AF0DC1" w:rsidP="006357D0">
            <w:pPr>
              <w:jc w:val="center"/>
              <w:rPr>
                <w:rFonts w:eastAsia="Times New Roman" w:cs="Times New Roman"/>
                <w:b/>
                <w:spacing w:val="-2"/>
                <w:szCs w:val="20"/>
                <w:lang w:eastAsia="ar-SA"/>
              </w:rPr>
            </w:pPr>
          </w:p>
        </w:tc>
        <w:tc>
          <w:tcPr>
            <w:tcW w:w="993" w:type="dxa"/>
            <w:tcBorders>
              <w:bottom w:val="nil"/>
            </w:tcBorders>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top w:val="nil"/>
            </w:tcBorders>
            <w:hideMark/>
          </w:tcPr>
          <w:p w:rsidR="00AF0DC1" w:rsidRPr="0089003B" w:rsidRDefault="00AF0DC1" w:rsidP="006357D0">
            <w:pPr>
              <w:rPr>
                <w:rFonts w:eastAsia="Times New Roman" w:cs="Times New Roman"/>
                <w:b/>
                <w:bCs/>
                <w:spacing w:val="-2"/>
                <w:szCs w:val="20"/>
                <w:lang w:eastAsia="ar-SA"/>
              </w:rPr>
            </w:pPr>
          </w:p>
        </w:tc>
        <w:tc>
          <w:tcPr>
            <w:tcW w:w="6945" w:type="dxa"/>
            <w:tcBorders>
              <w:top w:val="nil"/>
            </w:tcBorders>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1.2 kiest en formuleert gericht doelstellingen.</w:t>
            </w:r>
          </w:p>
        </w:tc>
        <w:tc>
          <w:tcPr>
            <w:tcW w:w="851" w:type="dxa"/>
            <w:tcBorders>
              <w:top w:val="nil"/>
            </w:tcBorders>
          </w:tcPr>
          <w:p w:rsidR="00AF0DC1" w:rsidRPr="0089003B" w:rsidRDefault="00AF0DC1" w:rsidP="006357D0">
            <w:pPr>
              <w:jc w:val="center"/>
              <w:rPr>
                <w:rFonts w:eastAsia="Times New Roman" w:cs="Times New Roman"/>
                <w:b/>
                <w:spacing w:val="-2"/>
                <w:szCs w:val="20"/>
                <w:lang w:eastAsia="ar-SA"/>
              </w:rPr>
            </w:pPr>
          </w:p>
        </w:tc>
        <w:tc>
          <w:tcPr>
            <w:tcW w:w="850" w:type="dxa"/>
            <w:tcBorders>
              <w:top w:val="nil"/>
            </w:tcBorders>
          </w:tcPr>
          <w:p w:rsidR="00AF0DC1" w:rsidRPr="0089003B" w:rsidRDefault="00AF0DC1" w:rsidP="006357D0">
            <w:pPr>
              <w:jc w:val="center"/>
              <w:rPr>
                <w:rFonts w:eastAsia="Times New Roman" w:cs="Times New Roman"/>
                <w:b/>
                <w:spacing w:val="-2"/>
                <w:szCs w:val="20"/>
                <w:lang w:eastAsia="ar-SA"/>
              </w:rPr>
            </w:pPr>
          </w:p>
        </w:tc>
        <w:tc>
          <w:tcPr>
            <w:tcW w:w="993" w:type="dxa"/>
            <w:tcBorders>
              <w:top w:val="nil"/>
            </w:tcBorders>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1.3 selecteert de leerinhouden en leerervaringen.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1.4 structureert de leerinhouden en vertaalt ze in leeractiviteiten.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1.5 selecteert aangepaste leermiddelen, werkvormen en groeperingsvormen.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1.6 realiseert een krachtige leeromgeving, met aandacht voor de heterogeniteit binnen de leergroep.</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1.7 k</w:t>
            </w:r>
            <w:r>
              <w:rPr>
                <w:rFonts w:eastAsia="Times New Roman" w:cs="Times New Roman"/>
                <w:spacing w:val="-2"/>
                <w:szCs w:val="20"/>
                <w:lang w:eastAsia="ar-SA"/>
              </w:rPr>
              <w:t>iest, ontwerpt en stelt individu</w:t>
            </w:r>
            <w:r w:rsidRPr="0089003B">
              <w:rPr>
                <w:rFonts w:eastAsia="Times New Roman" w:cs="Times New Roman"/>
                <w:spacing w:val="-2"/>
                <w:szCs w:val="20"/>
                <w:lang w:eastAsia="ar-SA"/>
              </w:rPr>
              <w:t>eel en in overleg de meest geschikte evaluatie- en observatie-instrumenten samen en beschrijft onderbouwde beoordelingscriteria.</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1.8 evalueert met het oog op begeleiding, bijsturing, remediëring en differentiatie.</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1.9 stelt in team een advies op over de voortgang van de leerlingen in hun schoolloopbaan of naar de arbeidsmarkt.</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1.10 neemt in overleg met collega's deel aan zorgverbredingsinitiatieven en laat die aansluiten bij de totaalbenadering van de school.</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1.11 begeleidt het leer- en ontwikkelingsproces adequaat in Standaardnederlands en houdt daarbij rekening met het taalbeheersingsniveau van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1.12 gaat constructief om met de diversiteit van de leergroep.</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1.13 zet leerprocessen op vanuit een vakoverschrijdende invalshoek.</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89003B" w:rsidRDefault="00AF0DC1" w:rsidP="006357D0">
            <w:pPr>
              <w:rPr>
                <w:rFonts w:eastAsia="Times New Roman" w:cs="Times New Roman"/>
                <w:spacing w:val="-2"/>
                <w:szCs w:val="20"/>
                <w:lang w:eastAsia="ar-SA"/>
              </w:rPr>
            </w:pPr>
            <w:r w:rsidRPr="0089003B">
              <w:rPr>
                <w:rFonts w:eastAsia="Times New Roman" w:cs="Times New Roman"/>
                <w:spacing w:val="-2"/>
                <w:szCs w:val="20"/>
                <w:lang w:eastAsia="ar-SA"/>
              </w:rPr>
              <w:t>1.14  zet leer- en ontwikkelingsprocessen op vanuit een vakoverschrijdende invalshoek.</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2. </w:t>
            </w:r>
            <w:r w:rsidRPr="0089003B">
              <w:rPr>
                <w:rFonts w:eastAsia="Times New Roman" w:cs="Times New Roman"/>
                <w:b/>
                <w:bCs/>
                <w:spacing w:val="-2"/>
                <w:szCs w:val="20"/>
                <w:u w:val="single"/>
                <w:lang w:eastAsia="ar-SA"/>
              </w:rPr>
              <w:t xml:space="preserve">Als opvoeder </w:t>
            </w:r>
            <w:r w:rsidRPr="0089003B">
              <w:rPr>
                <w:rFonts w:eastAsia="Times New Roman" w:cs="Times New Roman"/>
                <w:b/>
                <w:bCs/>
                <w:spacing w:val="-2"/>
                <w:szCs w:val="20"/>
                <w:lang w:eastAsia="ar-SA"/>
              </w:rPr>
              <w:br/>
              <w:t>De Bachelor in het Onderwijs: Secundair Onderwijs creëert een positief leer- en leefklimaat voor leerlingen, met aandacht voor de lichamelijke en geestelijke gezondheid van de leerling. Hij begeleidt attitudevorming bij leerlingen en bereidt ze voor op</w:t>
            </w:r>
            <w:r w:rsidRPr="0089003B">
              <w:rPr>
                <w:rFonts w:eastAsia="Times New Roman" w:cs="Times New Roman"/>
                <w:b/>
                <w:bCs/>
                <w:spacing w:val="-2"/>
                <w:szCs w:val="20"/>
                <w:lang w:eastAsia="ar-SA"/>
              </w:rPr>
              <w:br/>
              <w:t>maatschappelijke participatie. Hij speelt gericht in op sociale, culturele en talige diversiteit.</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2.1 creëert  een positief leer- en leefklimaat met aandacht voor het welbevinden van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2.2 bevordert de emancipatie van de leerlingen door attitudevorming en het omgaan met actuele maatschappelijke ontwikkelingen.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2.3 stelt signalen van probleemgedrag en van socio-emotionele probleemsituaties vast en handelt adequaat in overleg met collega's en externen.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2.4 bevordert het fysieke en geestelijke welzijn van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2.5 communiceert met leerlingen met diverse taalachtergronden in diverse communicatieve situaties.</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3. </w:t>
            </w:r>
            <w:r w:rsidRPr="0089003B">
              <w:rPr>
                <w:rFonts w:eastAsia="Times New Roman" w:cs="Times New Roman"/>
                <w:b/>
                <w:bCs/>
                <w:spacing w:val="-2"/>
                <w:szCs w:val="20"/>
                <w:u w:val="single"/>
                <w:lang w:eastAsia="ar-SA"/>
              </w:rPr>
              <w:t xml:space="preserve">Als inhoudelijk expert: </w:t>
            </w:r>
            <w:r w:rsidRPr="0089003B">
              <w:rPr>
                <w:rFonts w:eastAsia="Times New Roman" w:cs="Times New Roman"/>
                <w:b/>
                <w:bCs/>
                <w:spacing w:val="-2"/>
                <w:szCs w:val="20"/>
                <w:lang w:eastAsia="ar-SA"/>
              </w:rPr>
              <w:br/>
              <w:t xml:space="preserve">De Bachelor in het Onderwijs: Secundair Onderwijs beheerst de </w:t>
            </w:r>
            <w:proofErr w:type="spellStart"/>
            <w:r w:rsidRPr="0089003B">
              <w:rPr>
                <w:rFonts w:eastAsia="Times New Roman" w:cs="Times New Roman"/>
                <w:b/>
                <w:bCs/>
                <w:spacing w:val="-2"/>
                <w:szCs w:val="20"/>
                <w:lang w:eastAsia="ar-SA"/>
              </w:rPr>
              <w:t>domeinspecifieke</w:t>
            </w:r>
            <w:proofErr w:type="spellEnd"/>
            <w:r w:rsidRPr="0089003B">
              <w:rPr>
                <w:rFonts w:eastAsia="Times New Roman" w:cs="Times New Roman"/>
                <w:b/>
                <w:bCs/>
                <w:spacing w:val="-2"/>
                <w:szCs w:val="20"/>
                <w:lang w:eastAsia="ar-SA"/>
              </w:rPr>
              <w:t xml:space="preserve"> vakinhoudelijke en vakdidactische (basis)kennis, vertaalt deze op een gestructureerde, kritische en creatieve manier in het Standaardnederlands naar leerlingen en integreert ICT- toepassingen. Hij ontwikkelt een attitude van levenslang leren.</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3.1  beheerst de </w:t>
            </w:r>
            <w:proofErr w:type="spellStart"/>
            <w:r w:rsidRPr="002423D3">
              <w:rPr>
                <w:rFonts w:eastAsia="Times New Roman" w:cs="Times New Roman"/>
                <w:spacing w:val="-2"/>
                <w:szCs w:val="20"/>
                <w:lang w:eastAsia="ar-SA"/>
              </w:rPr>
              <w:t>domeinspecifieke</w:t>
            </w:r>
            <w:proofErr w:type="spellEnd"/>
            <w:r w:rsidRPr="002423D3">
              <w:rPr>
                <w:rFonts w:eastAsia="Times New Roman" w:cs="Times New Roman"/>
                <w:spacing w:val="-2"/>
                <w:szCs w:val="20"/>
                <w:lang w:eastAsia="ar-SA"/>
              </w:rPr>
              <w:t xml:space="preserve"> kennis en -vaardigheden, en kan die verbreden, verdiepen en aanwenden.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3.2 situeert en integreert het eigen onderwijsaanbod in het geheel van het onderwijsaanbod met het oog op de begeleiding en oriëntering van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3.3 heeft binnen het </w:t>
            </w:r>
            <w:proofErr w:type="spellStart"/>
            <w:r w:rsidRPr="002423D3">
              <w:rPr>
                <w:rFonts w:eastAsia="Times New Roman" w:cs="Times New Roman"/>
                <w:spacing w:val="-2"/>
                <w:szCs w:val="20"/>
                <w:lang w:eastAsia="ar-SA"/>
              </w:rPr>
              <w:t>onderwijsvak</w:t>
            </w:r>
            <w:proofErr w:type="spellEnd"/>
            <w:r w:rsidRPr="002423D3">
              <w:rPr>
                <w:rFonts w:eastAsia="Times New Roman" w:cs="Times New Roman"/>
                <w:spacing w:val="-2"/>
                <w:szCs w:val="20"/>
                <w:lang w:eastAsia="ar-SA"/>
              </w:rPr>
              <w:t xml:space="preserve"> aandacht voor jargon, conceptbuilding en taalregisters.</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3.4 beheerst  de basisvaardigheden EHBO.</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4.</w:t>
            </w:r>
            <w:r w:rsidRPr="0089003B">
              <w:rPr>
                <w:rFonts w:eastAsia="Times New Roman" w:cs="Times New Roman"/>
                <w:b/>
                <w:bCs/>
                <w:spacing w:val="-2"/>
                <w:szCs w:val="20"/>
                <w:u w:val="single"/>
                <w:lang w:eastAsia="ar-SA"/>
              </w:rPr>
              <w:t xml:space="preserve"> Als organisator: </w:t>
            </w:r>
            <w:r w:rsidRPr="0089003B">
              <w:rPr>
                <w:rFonts w:eastAsia="Times New Roman" w:cs="Times New Roman"/>
                <w:b/>
                <w:bCs/>
                <w:spacing w:val="-2"/>
                <w:szCs w:val="20"/>
                <w:lang w:eastAsia="ar-SA"/>
              </w:rPr>
              <w:br/>
              <w:t>De Bachelor in het Onderwijs: Secundair Onderwijs creëert een efficiënte en stimulerende werk- en leeromgeving naar aanpak, tijd en ruimte en gaat correct</w:t>
            </w:r>
            <w:bookmarkStart w:id="2" w:name="_GoBack"/>
            <w:bookmarkEnd w:id="2"/>
            <w:r w:rsidRPr="0089003B">
              <w:rPr>
                <w:rFonts w:eastAsia="Times New Roman" w:cs="Times New Roman"/>
                <w:b/>
                <w:bCs/>
                <w:spacing w:val="-2"/>
                <w:szCs w:val="20"/>
                <w:lang w:eastAsia="ar-SA"/>
              </w:rPr>
              <w:t xml:space="preserve"> om met administratieve taken.</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4.1 bevordert een gestructureerd leef- en leerklimaat door een aangepast klasmanagement te hanteren.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4.2 creëert een soepel en efficiënt les- en </w:t>
            </w:r>
            <w:proofErr w:type="spellStart"/>
            <w:r w:rsidRPr="002423D3">
              <w:rPr>
                <w:rFonts w:eastAsia="Times New Roman" w:cs="Times New Roman"/>
                <w:spacing w:val="-2"/>
                <w:szCs w:val="20"/>
                <w:lang w:eastAsia="ar-SA"/>
              </w:rPr>
              <w:t>dagverloop</w:t>
            </w:r>
            <w:proofErr w:type="spellEnd"/>
            <w:r w:rsidRPr="002423D3">
              <w:rPr>
                <w:rFonts w:eastAsia="Times New Roman" w:cs="Times New Roman"/>
                <w:spacing w:val="-2"/>
                <w:szCs w:val="20"/>
                <w:lang w:eastAsia="ar-SA"/>
              </w:rPr>
              <w:t>, passend in een tijdsplanning vanuit het oogpunt van de leerkracht en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4.3 voert op correcte wijze een aantal administratieve taken uit die behoren tot zijn takenpakket.</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4.4 creëert een stimulerende en werkbare klasruimte, rekening houdend met de veiligheid van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4.5 begeleidt en organiseert </w:t>
            </w:r>
            <w:proofErr w:type="spellStart"/>
            <w:r w:rsidRPr="002423D3">
              <w:rPr>
                <w:rFonts w:eastAsia="Times New Roman" w:cs="Times New Roman"/>
                <w:spacing w:val="-2"/>
                <w:szCs w:val="20"/>
                <w:lang w:eastAsia="ar-SA"/>
              </w:rPr>
              <w:t>klasoverstijgende</w:t>
            </w:r>
            <w:proofErr w:type="spellEnd"/>
            <w:r w:rsidRPr="002423D3">
              <w:rPr>
                <w:rFonts w:eastAsia="Times New Roman" w:cs="Times New Roman"/>
                <w:spacing w:val="-2"/>
                <w:szCs w:val="20"/>
                <w:lang w:eastAsia="ar-SA"/>
              </w:rPr>
              <w:t xml:space="preserve"> initiatieven.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5. </w:t>
            </w:r>
            <w:r w:rsidRPr="0089003B">
              <w:rPr>
                <w:rFonts w:eastAsia="Times New Roman" w:cs="Times New Roman"/>
                <w:b/>
                <w:bCs/>
                <w:spacing w:val="-2"/>
                <w:szCs w:val="20"/>
                <w:u w:val="single"/>
                <w:lang w:eastAsia="ar-SA"/>
              </w:rPr>
              <w:t xml:space="preserve">Als onderzoeker </w:t>
            </w:r>
            <w:r w:rsidRPr="0089003B">
              <w:rPr>
                <w:rFonts w:eastAsia="Times New Roman" w:cs="Times New Roman"/>
                <w:b/>
                <w:bCs/>
                <w:spacing w:val="-2"/>
                <w:szCs w:val="20"/>
                <w:lang w:eastAsia="ar-SA"/>
              </w:rPr>
              <w:br/>
              <w:t xml:space="preserve">De Bachelor in het Onderwijs: Secundair Onderwijs ontwikkelt praktijkgerichte </w:t>
            </w:r>
            <w:proofErr w:type="spellStart"/>
            <w:r w:rsidRPr="0089003B">
              <w:rPr>
                <w:rFonts w:eastAsia="Times New Roman" w:cs="Times New Roman"/>
                <w:b/>
                <w:bCs/>
                <w:spacing w:val="-2"/>
                <w:szCs w:val="20"/>
                <w:lang w:eastAsia="ar-SA"/>
              </w:rPr>
              <w:t>onderzoeksvaardigheden</w:t>
            </w:r>
            <w:proofErr w:type="spellEnd"/>
            <w:r w:rsidRPr="0089003B">
              <w:rPr>
                <w:rFonts w:eastAsia="Times New Roman" w:cs="Times New Roman"/>
                <w:b/>
                <w:bCs/>
                <w:spacing w:val="-2"/>
                <w:szCs w:val="20"/>
                <w:lang w:eastAsia="ar-SA"/>
              </w:rPr>
              <w:t xml:space="preserve">, is op de hoogte van en integreert vernieuwende tendensen binnen het </w:t>
            </w:r>
            <w:proofErr w:type="spellStart"/>
            <w:r w:rsidRPr="0089003B">
              <w:rPr>
                <w:rFonts w:eastAsia="Times New Roman" w:cs="Times New Roman"/>
                <w:b/>
                <w:bCs/>
                <w:spacing w:val="-2"/>
                <w:szCs w:val="20"/>
                <w:lang w:eastAsia="ar-SA"/>
              </w:rPr>
              <w:t>vakdomein</w:t>
            </w:r>
            <w:proofErr w:type="spellEnd"/>
            <w:r w:rsidRPr="0089003B">
              <w:rPr>
                <w:rFonts w:eastAsia="Times New Roman" w:cs="Times New Roman"/>
                <w:b/>
                <w:bCs/>
                <w:spacing w:val="-2"/>
                <w:szCs w:val="20"/>
                <w:lang w:eastAsia="ar-SA"/>
              </w:rPr>
              <w:t>, reflecteert kritisch op zijn eigen functioneren en stuurt zichzelf bij.</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5.1 brengt en wendt vernieuwende elementen aan.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5.2 neemt kennis van toegankelijke resultaten van onderwijsonderzoek, vakdidactisch en vakinhoudelijk onderzoek in wetenschappelijke literatuur en kadert ten opzichte van de bestaande wetenschappelijke inzichten.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5.3 stuurt de eigen onderwijspraktijk bij vanuit reflectie op de eigen ervaringen en praktijkgericht onderzoek en rapporteert erover.</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6. </w:t>
            </w:r>
            <w:r w:rsidRPr="0089003B">
              <w:rPr>
                <w:rFonts w:eastAsia="Times New Roman" w:cs="Times New Roman"/>
                <w:b/>
                <w:bCs/>
                <w:spacing w:val="-2"/>
                <w:szCs w:val="20"/>
                <w:u w:val="single"/>
                <w:lang w:eastAsia="ar-SA"/>
              </w:rPr>
              <w:t>Als partner van verzorger/ouders</w:t>
            </w:r>
            <w:r w:rsidRPr="0089003B">
              <w:rPr>
                <w:rFonts w:eastAsia="Times New Roman" w:cs="Times New Roman"/>
                <w:b/>
                <w:bCs/>
                <w:spacing w:val="-2"/>
                <w:szCs w:val="20"/>
                <w:lang w:eastAsia="ar-SA"/>
              </w:rPr>
              <w:br/>
              <w:t>De Bachelor in het Onderwijs: Secundair Onderwijs beheerst de communicatieve basisvaardigheden om op een correcte manier in gesprek te gaan met ouders, rekening houdende met de diversiteit en de complexiteit van de context.</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6.1 informeert zich over en gaat discreet om met gegevens over de leerling.</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6.2 communiceert met ouders of verzorgers over de leerling op basis van overleg en met de hulp van collega’s of externen, verstrekt informatie over leervorderingen, studiekeuze </w:t>
            </w:r>
            <w:r>
              <w:rPr>
                <w:rFonts w:eastAsia="Times New Roman" w:cs="Times New Roman"/>
                <w:spacing w:val="-2"/>
                <w:szCs w:val="20"/>
                <w:lang w:eastAsia="ar-SA"/>
              </w:rPr>
              <w:t>en / of</w:t>
            </w:r>
            <w:r w:rsidRPr="002423D3">
              <w:rPr>
                <w:rFonts w:eastAsia="Times New Roman" w:cs="Times New Roman"/>
                <w:spacing w:val="-2"/>
                <w:szCs w:val="20"/>
                <w:lang w:eastAsia="ar-SA"/>
              </w:rPr>
              <w:t xml:space="preserve"> beroepskeuze, gedrags- en houdingsaspecten, geeft in overleg adviezen voor de </w:t>
            </w:r>
            <w:proofErr w:type="spellStart"/>
            <w:r w:rsidRPr="002423D3">
              <w:rPr>
                <w:rFonts w:eastAsia="Times New Roman" w:cs="Times New Roman"/>
                <w:spacing w:val="-2"/>
                <w:szCs w:val="20"/>
                <w:lang w:eastAsia="ar-SA"/>
              </w:rPr>
              <w:t>studieaanpak</w:t>
            </w:r>
            <w:proofErr w:type="spellEnd"/>
            <w:r w:rsidRPr="002423D3">
              <w:rPr>
                <w:rFonts w:eastAsia="Times New Roman" w:cs="Times New Roman"/>
                <w:spacing w:val="-2"/>
                <w:szCs w:val="20"/>
                <w:lang w:eastAsia="ar-SA"/>
              </w:rPr>
              <w:t xml:space="preserve"> thuis, verwijst door naar interne begeleidingsvoorzieningen.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6.3 communiceert, in overleg met het team, met de ouders of verzorgers over opvoeding en onderwijs, rekening houdend met de diversiteit van de ouders, en betrekt hen hierbij.</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6.5 treedt in Standaardnederlands of naargelang van de context in een ander passend register, adequaat in interactie met ouders of verzorgers met diverse taalachtergronden in diverse talige situaties.</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7</w:t>
            </w:r>
            <w:r w:rsidRPr="0089003B">
              <w:rPr>
                <w:rFonts w:eastAsia="Times New Roman" w:cs="Times New Roman"/>
                <w:b/>
                <w:bCs/>
                <w:spacing w:val="-2"/>
                <w:szCs w:val="20"/>
                <w:u w:val="single"/>
                <w:lang w:eastAsia="ar-SA"/>
              </w:rPr>
              <w:t>. Als partner van team/schoolgemeenschap</w:t>
            </w:r>
            <w:r w:rsidRPr="0089003B">
              <w:rPr>
                <w:rFonts w:eastAsia="Times New Roman" w:cs="Times New Roman"/>
                <w:b/>
                <w:bCs/>
                <w:spacing w:val="-2"/>
                <w:szCs w:val="20"/>
                <w:lang w:eastAsia="ar-SA"/>
              </w:rPr>
              <w:br/>
              <w:t>De Bachelor in het Onderwijs: Secundair Onderwijs functioneert teamgericht en maakt de eigen pedagogische en (vak)didactische aanpak bespreekbaar. Hij neemt in het schoolteam mee de verantwoordelijkheid voor de realisatie van het pedagogisch project en ontwikkelt ondernemingszin.</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7.1 overlegt en werkt samen binnen het schoolteam.</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7.2 overlegt binnen een team over een takenpakket en leeft afspraken na.</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7.3 reflecteert in dialoog met collega's en de schoolleiding over het eigen pedagogisch en </w:t>
            </w:r>
            <w:proofErr w:type="spellStart"/>
            <w:r w:rsidRPr="002423D3">
              <w:rPr>
                <w:rFonts w:eastAsia="Times New Roman" w:cs="Times New Roman"/>
                <w:spacing w:val="-2"/>
                <w:szCs w:val="20"/>
                <w:lang w:eastAsia="ar-SA"/>
              </w:rPr>
              <w:t>didctisch</w:t>
            </w:r>
            <w:proofErr w:type="spellEnd"/>
            <w:r w:rsidRPr="002423D3">
              <w:rPr>
                <w:rFonts w:eastAsia="Times New Roman" w:cs="Times New Roman"/>
                <w:spacing w:val="-2"/>
                <w:szCs w:val="20"/>
                <w:lang w:eastAsia="ar-SA"/>
              </w:rPr>
              <w:t xml:space="preserve"> handelen en integreert feedback in het eigen handelen.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7.4 documenteert zich over de eigen rechtspositie en die van de leerlingen.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7.5 treedt adequaat in Standaardnederlands in interactie met alle leden van het schoolteam.</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Pr>
                <w:rFonts w:eastAsia="Times New Roman" w:cs="Times New Roman"/>
                <w:b/>
                <w:bCs/>
                <w:spacing w:val="-2"/>
                <w:szCs w:val="20"/>
                <w:lang w:eastAsia="ar-SA"/>
              </w:rPr>
              <w:t>8.</w:t>
            </w:r>
            <w:r w:rsidRPr="0089003B">
              <w:rPr>
                <w:rFonts w:eastAsia="Times New Roman" w:cs="Times New Roman"/>
                <w:b/>
                <w:bCs/>
                <w:spacing w:val="-2"/>
                <w:szCs w:val="20"/>
                <w:lang w:eastAsia="ar-SA"/>
              </w:rPr>
              <w:t xml:space="preserve"> </w:t>
            </w:r>
            <w:r w:rsidRPr="0089003B">
              <w:rPr>
                <w:rFonts w:eastAsia="Times New Roman" w:cs="Times New Roman"/>
                <w:b/>
                <w:bCs/>
                <w:spacing w:val="-2"/>
                <w:szCs w:val="20"/>
                <w:u w:val="single"/>
                <w:lang w:eastAsia="ar-SA"/>
              </w:rPr>
              <w:t xml:space="preserve">Als partner van externen </w:t>
            </w:r>
            <w:r w:rsidRPr="0089003B">
              <w:rPr>
                <w:rFonts w:eastAsia="Times New Roman" w:cs="Times New Roman"/>
                <w:b/>
                <w:bCs/>
                <w:spacing w:val="-2"/>
                <w:szCs w:val="20"/>
                <w:lang w:eastAsia="ar-SA"/>
              </w:rPr>
              <w:br/>
              <w:t>De Bachelor in het Onderwijs: Secundair Onderwijs ontwikkelt communicatieve vaardigheden om op een gepaste manier in gesprek te gaan met externe partners, met het oog op het uitbouwen van een netwerk.</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8.1 legt, met hulp van collega's, contacten, communiceert en werkt samen met externe instanties die </w:t>
            </w:r>
            <w:proofErr w:type="spellStart"/>
            <w:r w:rsidRPr="002423D3">
              <w:rPr>
                <w:rFonts w:eastAsia="Times New Roman" w:cs="Times New Roman"/>
                <w:spacing w:val="-2"/>
                <w:szCs w:val="20"/>
                <w:lang w:eastAsia="ar-SA"/>
              </w:rPr>
              <w:t>onderwijsbetrokken</w:t>
            </w:r>
            <w:proofErr w:type="spellEnd"/>
            <w:r w:rsidRPr="002423D3">
              <w:rPr>
                <w:rFonts w:eastAsia="Times New Roman" w:cs="Times New Roman"/>
                <w:spacing w:val="-2"/>
                <w:szCs w:val="20"/>
                <w:lang w:eastAsia="ar-SA"/>
              </w:rPr>
              <w:t xml:space="preserve"> initiatieven aanbieden.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8.2 treedt in interactie met externe partners: regionaal tot internationaal.</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8.3 initieert netwerken, bouwt ze uit en onderhoudt ze, o.a. met de brede sociaal-culturele sector, met hulp van collega's.</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8.4 treedt in Standaardnederlands adequaat in interactie met medewerkers van </w:t>
            </w:r>
            <w:proofErr w:type="spellStart"/>
            <w:r w:rsidRPr="002423D3">
              <w:rPr>
                <w:rFonts w:eastAsia="Times New Roman" w:cs="Times New Roman"/>
                <w:spacing w:val="-2"/>
                <w:szCs w:val="20"/>
                <w:lang w:eastAsia="ar-SA"/>
              </w:rPr>
              <w:t>onderwijsbetrokken</w:t>
            </w:r>
            <w:proofErr w:type="spellEnd"/>
            <w:r w:rsidRPr="002423D3">
              <w:rPr>
                <w:rFonts w:eastAsia="Times New Roman" w:cs="Times New Roman"/>
                <w:spacing w:val="-2"/>
                <w:szCs w:val="20"/>
                <w:lang w:eastAsia="ar-SA"/>
              </w:rPr>
              <w:t xml:space="preserve"> initiatieven.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9. </w:t>
            </w:r>
            <w:r w:rsidRPr="0089003B">
              <w:rPr>
                <w:rFonts w:eastAsia="Times New Roman" w:cs="Times New Roman"/>
                <w:b/>
                <w:bCs/>
                <w:spacing w:val="-2"/>
                <w:szCs w:val="20"/>
                <w:u w:val="single"/>
                <w:lang w:eastAsia="ar-SA"/>
              </w:rPr>
              <w:t>Als partner van de onderwijsgemeenschap</w:t>
            </w:r>
            <w:r w:rsidRPr="0089003B">
              <w:rPr>
                <w:rFonts w:eastAsia="Times New Roman" w:cs="Times New Roman"/>
                <w:b/>
                <w:bCs/>
                <w:spacing w:val="-2"/>
                <w:szCs w:val="20"/>
                <w:lang w:eastAsia="ar-SA"/>
              </w:rPr>
              <w:t xml:space="preserve"> </w:t>
            </w:r>
            <w:r w:rsidRPr="0089003B">
              <w:rPr>
                <w:rFonts w:eastAsia="Times New Roman" w:cs="Times New Roman"/>
                <w:b/>
                <w:bCs/>
                <w:spacing w:val="-2"/>
                <w:szCs w:val="20"/>
                <w:lang w:eastAsia="ar-SA"/>
              </w:rPr>
              <w:br/>
              <w:t>De Bachelor in het Onderwijs: Secundair Onderwijs neemt deel aan het maatschappelijke debat over onderwijskundige thema’s en de rol van de leraar in de samenleving, ook in internationaal perspectief.</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9.1 neemt deel aan het maatschappelijke debat over onderwijskundige thema’s.</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946"/>
        </w:trPr>
        <w:tc>
          <w:tcPr>
            <w:tcW w:w="4957" w:type="dxa"/>
            <w:vMerge/>
            <w:tcBorders>
              <w:bottom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9.2 dialogeert over het beroep van de leraar in de samenleving.</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hideMark/>
          </w:tcPr>
          <w:p w:rsidR="00AF0DC1" w:rsidRPr="0089003B"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10. </w:t>
            </w:r>
            <w:r w:rsidRPr="00E60F75">
              <w:rPr>
                <w:rFonts w:eastAsia="Times New Roman" w:cs="Times New Roman"/>
                <w:b/>
                <w:bCs/>
                <w:spacing w:val="-2"/>
                <w:szCs w:val="20"/>
                <w:u w:val="single"/>
                <w:lang w:eastAsia="ar-SA"/>
              </w:rPr>
              <w:t xml:space="preserve">Als  cultuurparticipant </w:t>
            </w:r>
            <w:r w:rsidRPr="0089003B">
              <w:rPr>
                <w:rFonts w:eastAsia="Times New Roman" w:cs="Times New Roman"/>
                <w:b/>
                <w:bCs/>
                <w:spacing w:val="-2"/>
                <w:szCs w:val="20"/>
                <w:lang w:eastAsia="ar-SA"/>
              </w:rPr>
              <w:br/>
              <w:t>De Bachelor in het Onderwijs: Secundair Onderwijs denkt kritisch en met een open geest na over ontwikkelingen op sociaal-politieke, sociaaleconomische, levensbeschouwelijke, cultureel-esthetische en cultureel-wetenschappelijke domeinen.</w:t>
            </w:r>
          </w:p>
        </w:tc>
        <w:tc>
          <w:tcPr>
            <w:tcW w:w="6945" w:type="dxa"/>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 xml:space="preserve">10.1 ontwikkelt een interpretatiekader  om actuele maatschappelijke thema's en ontwikkelingen in binnen- en buitenland kritisch te benaderen op volgende domeinen: het sociaal-politieke domein, het </w:t>
            </w:r>
            <w:proofErr w:type="spellStart"/>
            <w:r w:rsidRPr="002423D3">
              <w:rPr>
                <w:rFonts w:eastAsia="Times New Roman" w:cs="Times New Roman"/>
                <w:spacing w:val="-2"/>
                <w:szCs w:val="20"/>
                <w:lang w:eastAsia="ar-SA"/>
              </w:rPr>
              <w:t>sociaal-economische</w:t>
            </w:r>
            <w:proofErr w:type="spellEnd"/>
            <w:r w:rsidRPr="002423D3">
              <w:rPr>
                <w:rFonts w:eastAsia="Times New Roman" w:cs="Times New Roman"/>
                <w:spacing w:val="-2"/>
                <w:szCs w:val="20"/>
                <w:lang w:eastAsia="ar-SA"/>
              </w:rPr>
              <w:t xml:space="preserve"> domein, het levensbeschouwelijke domein, het cultureel-esthetische domein, het cultureel-wetenschappelijke domein.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10.2 plaatst reflecties in een ethische context  en toont hierin de ontwikkeling van een eigen levensbeschouwelijke en ethische identiteit.</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10.3 speelt gepast in op culturele verschillen en menselijke gemeenschappelijkheden met behoud van de culturele eigenheid van alle betrokkenen.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hideMark/>
          </w:tcPr>
          <w:p w:rsidR="00AF0DC1" w:rsidRPr="0089003B" w:rsidRDefault="00AF0DC1" w:rsidP="006357D0">
            <w:pPr>
              <w:rPr>
                <w:rFonts w:eastAsia="Times New Roman" w:cs="Times New Roman"/>
                <w:b/>
                <w:bCs/>
                <w:spacing w:val="-2"/>
                <w:szCs w:val="20"/>
                <w:lang w:eastAsia="ar-SA"/>
              </w:rPr>
            </w:pPr>
          </w:p>
        </w:tc>
        <w:tc>
          <w:tcPr>
            <w:tcW w:w="6945" w:type="dxa"/>
            <w:hideMark/>
          </w:tcPr>
          <w:p w:rsidR="00AF0DC1" w:rsidRPr="002423D3" w:rsidRDefault="00AF0DC1" w:rsidP="006357D0">
            <w:pPr>
              <w:rPr>
                <w:rFonts w:eastAsia="Times New Roman" w:cs="Times New Roman"/>
                <w:spacing w:val="-2"/>
                <w:szCs w:val="20"/>
                <w:lang w:eastAsia="ar-SA"/>
              </w:rPr>
            </w:pPr>
            <w:r w:rsidRPr="000754AF">
              <w:rPr>
                <w:rFonts w:eastAsia="Times New Roman" w:cs="Times New Roman"/>
                <w:spacing w:val="-2"/>
                <w:szCs w:val="20"/>
                <w:lang w:eastAsia="ar-SA"/>
              </w:rPr>
              <w:t>10.4 leert leerlingen kritisch en zinvol omgaan met informatie van en beïnvloeding door de media en impact, betekenis en mogelijkheden van eigentijdse sociale netwerken.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val="restart"/>
            <w:tcBorders>
              <w:top w:val="single" w:sz="4" w:space="0" w:color="auto"/>
              <w:left w:val="single" w:sz="4" w:space="0" w:color="auto"/>
              <w:right w:val="single" w:sz="4" w:space="0" w:color="auto"/>
            </w:tcBorders>
            <w:hideMark/>
          </w:tcPr>
          <w:p w:rsidR="00AF0DC1" w:rsidRDefault="00AF0DC1" w:rsidP="006357D0">
            <w:pPr>
              <w:rPr>
                <w:rFonts w:eastAsia="Times New Roman" w:cs="Times New Roman"/>
                <w:b/>
                <w:bCs/>
                <w:spacing w:val="-2"/>
                <w:szCs w:val="20"/>
                <w:lang w:eastAsia="ar-SA"/>
              </w:rPr>
            </w:pPr>
            <w:r>
              <w:rPr>
                <w:rFonts w:eastAsia="Times New Roman" w:cs="Times New Roman"/>
                <w:b/>
                <w:bCs/>
                <w:spacing w:val="-2"/>
                <w:szCs w:val="20"/>
                <w:lang w:eastAsia="ar-SA"/>
              </w:rPr>
              <w:t xml:space="preserve">BEROEPSHOUDINGEN </w:t>
            </w:r>
          </w:p>
          <w:p w:rsidR="00AF0DC1" w:rsidRDefault="00AF0DC1" w:rsidP="006357D0">
            <w:pPr>
              <w:rPr>
                <w:rFonts w:eastAsia="Times New Roman" w:cs="Times New Roman"/>
                <w:b/>
                <w:bCs/>
                <w:spacing w:val="-2"/>
                <w:szCs w:val="20"/>
                <w:lang w:eastAsia="ar-SA"/>
              </w:rPr>
            </w:pPr>
          </w:p>
          <w:p w:rsidR="00AF0DC1" w:rsidRDefault="00AF0DC1" w:rsidP="006357D0">
            <w:pPr>
              <w:rPr>
                <w:rFonts w:eastAsia="Times New Roman" w:cs="Times New Roman"/>
                <w:b/>
                <w:bCs/>
                <w:spacing w:val="-2"/>
                <w:szCs w:val="20"/>
                <w:lang w:eastAsia="ar-SA"/>
              </w:rPr>
            </w:pPr>
            <w:r w:rsidRPr="0089003B">
              <w:rPr>
                <w:rFonts w:eastAsia="Times New Roman" w:cs="Times New Roman"/>
                <w:b/>
                <w:bCs/>
                <w:spacing w:val="-2"/>
                <w:szCs w:val="20"/>
                <w:lang w:eastAsia="ar-SA"/>
              </w:rPr>
              <w:t xml:space="preserve">11. De Bachelor in het Onderwijs: Secundair Onderwijs beschikt over de attitudes van beslissingsvermogen, relationele gerichtheid, kritische ingesteldheid, leergierigheid, organisatievermogen, zin voor samenwerking, verantwoordelijkheidszin, flexibiliteit, </w:t>
            </w:r>
            <w:proofErr w:type="spellStart"/>
            <w:r w:rsidRPr="0089003B">
              <w:rPr>
                <w:rFonts w:eastAsia="Times New Roman" w:cs="Times New Roman"/>
                <w:b/>
                <w:bCs/>
                <w:spacing w:val="-2"/>
                <w:szCs w:val="20"/>
                <w:lang w:eastAsia="ar-SA"/>
              </w:rPr>
              <w:t>kindgerichtheid</w:t>
            </w:r>
            <w:proofErr w:type="spellEnd"/>
            <w:r w:rsidRPr="0089003B">
              <w:rPr>
                <w:rFonts w:eastAsia="Times New Roman" w:cs="Times New Roman"/>
                <w:b/>
                <w:bCs/>
                <w:spacing w:val="-2"/>
                <w:szCs w:val="20"/>
                <w:lang w:eastAsia="ar-SA"/>
              </w:rPr>
              <w:t>, enthousiasme, creatieve gerichtheid, correct taalgebruik en verbondenheid.</w:t>
            </w:r>
          </w:p>
          <w:p w:rsidR="00AF0DC1" w:rsidRDefault="00AF0DC1" w:rsidP="006357D0">
            <w:pPr>
              <w:rPr>
                <w:rFonts w:eastAsia="Times New Roman" w:cs="Times New Roman"/>
                <w:b/>
                <w:bCs/>
                <w:spacing w:val="-2"/>
                <w:szCs w:val="20"/>
                <w:lang w:eastAsia="ar-SA"/>
              </w:rPr>
            </w:pPr>
          </w:p>
          <w:p w:rsidR="00AF0DC1" w:rsidRDefault="00AF0DC1" w:rsidP="006357D0">
            <w:pPr>
              <w:rPr>
                <w:rFonts w:eastAsia="Times New Roman" w:cs="Times New Roman"/>
                <w:b/>
                <w:bCs/>
                <w:spacing w:val="-2"/>
                <w:szCs w:val="20"/>
                <w:lang w:eastAsia="ar-SA"/>
              </w:rPr>
            </w:pPr>
          </w:p>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11.1 Beslissingsvermogen: durft een standpunt in te nemen of tot een handeling over te gaan, en er ook de verantwoordelijkheid voor te dragen.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11.2 Relationele gerichtheid: toont in contacten met anderen kenmerken van echtheid, aanvaarding, empathie en respect.</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11.3 Kritische ingesteldheid: is bereid zichzelf en zijn omgeving ter discussie te stellen, de waarde van een bewering of een feit, de wenselijkheid en haalbaarheid van een vooropgesteld doel te verifiëren, alvorens een stelling in te nemen.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11.4 Leergierigheid: zoekt actief  naar situaties om zijn competenties te verbreden en te verdiepen.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11.5 Organisatievermogen: is erop gericht zijn taken zo te plannen, te coördineren en te delegeren, dat het beoogde doel op een efficiënte manier bereikt kan worden.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11.6 Zin voor samenwerking: is bereid om gemeenschappelijk aan eenzelfde taak te werken.</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11.7 Verantwoordelijkheidszin: voelt zich verantwoordelijk voor de school als geheel en gaat het engagement aan om een positieve ontwikkeling van de leerling te bevorderen.</w:t>
            </w:r>
          </w:p>
        </w:tc>
        <w:tc>
          <w:tcPr>
            <w:tcW w:w="851" w:type="dxa"/>
          </w:tcPr>
          <w:p w:rsidR="00AF0DC1" w:rsidRPr="0089003B" w:rsidRDefault="00AF0DC1" w:rsidP="006357D0">
            <w:pPr>
              <w:tabs>
                <w:tab w:val="left" w:pos="586"/>
              </w:tabs>
              <w:ind w:left="411"/>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r w:rsidR="00AF0DC1" w:rsidRPr="0089003B" w:rsidTr="00AF0DC1">
        <w:trPr>
          <w:trHeight w:val="340"/>
        </w:trPr>
        <w:tc>
          <w:tcPr>
            <w:tcW w:w="4957" w:type="dxa"/>
            <w:vMerge/>
            <w:tcBorders>
              <w:left w:val="single" w:sz="4" w:space="0" w:color="auto"/>
              <w:right w:val="single" w:sz="4" w:space="0" w:color="auto"/>
            </w:tcBorders>
            <w:hideMark/>
          </w:tcPr>
          <w:p w:rsidR="00AF0DC1" w:rsidRPr="0089003B" w:rsidRDefault="00AF0DC1" w:rsidP="006357D0">
            <w:pPr>
              <w:rPr>
                <w:rFonts w:eastAsia="Times New Roman" w:cs="Times New Roman"/>
                <w:b/>
                <w:bCs/>
                <w:spacing w:val="-2"/>
                <w:szCs w:val="20"/>
                <w:lang w:eastAsia="ar-SA"/>
              </w:rPr>
            </w:pPr>
          </w:p>
        </w:tc>
        <w:tc>
          <w:tcPr>
            <w:tcW w:w="6945" w:type="dxa"/>
            <w:tcBorders>
              <w:left w:val="single" w:sz="4" w:space="0" w:color="auto"/>
            </w:tcBorders>
            <w:hideMark/>
          </w:tcPr>
          <w:p w:rsidR="00AF0DC1" w:rsidRPr="002423D3" w:rsidRDefault="00AF0DC1" w:rsidP="006357D0">
            <w:pPr>
              <w:rPr>
                <w:rFonts w:eastAsia="Times New Roman" w:cs="Times New Roman"/>
                <w:spacing w:val="-2"/>
                <w:szCs w:val="20"/>
                <w:lang w:eastAsia="ar-SA"/>
              </w:rPr>
            </w:pPr>
            <w:r w:rsidRPr="002423D3">
              <w:rPr>
                <w:rFonts w:eastAsia="Times New Roman" w:cs="Times New Roman"/>
                <w:spacing w:val="-2"/>
                <w:szCs w:val="20"/>
                <w:lang w:eastAsia="ar-SA"/>
              </w:rPr>
              <w:t>11.8 Flexibiliteit: is bereid zich aan te passen aan wijzigende omstandigheden, zoals middelen, doelen, mensen en procedures.</w:t>
            </w:r>
          </w:p>
        </w:tc>
        <w:tc>
          <w:tcPr>
            <w:tcW w:w="851" w:type="dxa"/>
          </w:tcPr>
          <w:p w:rsidR="00AF0DC1" w:rsidRPr="0089003B" w:rsidRDefault="00AF0DC1" w:rsidP="006357D0">
            <w:pPr>
              <w:jc w:val="center"/>
              <w:rPr>
                <w:rFonts w:eastAsia="Times New Roman" w:cs="Times New Roman"/>
                <w:b/>
                <w:spacing w:val="-2"/>
                <w:szCs w:val="20"/>
                <w:lang w:eastAsia="ar-SA"/>
              </w:rPr>
            </w:pPr>
          </w:p>
        </w:tc>
        <w:tc>
          <w:tcPr>
            <w:tcW w:w="850" w:type="dxa"/>
          </w:tcPr>
          <w:p w:rsidR="00AF0DC1" w:rsidRPr="0089003B" w:rsidRDefault="00AF0DC1" w:rsidP="006357D0">
            <w:pPr>
              <w:jc w:val="center"/>
              <w:rPr>
                <w:rFonts w:eastAsia="Times New Roman" w:cs="Times New Roman"/>
                <w:b/>
                <w:spacing w:val="-2"/>
                <w:szCs w:val="20"/>
                <w:lang w:eastAsia="ar-SA"/>
              </w:rPr>
            </w:pPr>
          </w:p>
        </w:tc>
        <w:tc>
          <w:tcPr>
            <w:tcW w:w="993" w:type="dxa"/>
          </w:tcPr>
          <w:p w:rsidR="00AF0DC1" w:rsidRPr="0089003B" w:rsidRDefault="00AF0DC1" w:rsidP="006357D0">
            <w:pPr>
              <w:jc w:val="center"/>
              <w:rPr>
                <w:rFonts w:eastAsia="Times New Roman" w:cs="Times New Roman"/>
                <w:b/>
                <w:spacing w:val="-2"/>
                <w:szCs w:val="20"/>
                <w:lang w:eastAsia="ar-SA"/>
              </w:rPr>
            </w:pPr>
          </w:p>
        </w:tc>
      </w:tr>
    </w:tbl>
    <w:p w:rsidR="0036227A" w:rsidRDefault="0036227A" w:rsidP="0036227A">
      <w:pPr>
        <w:suppressAutoHyphens/>
        <w:spacing w:line="240" w:lineRule="auto"/>
        <w:rPr>
          <w:rFonts w:eastAsia="Times New Roman" w:cs="Times New Roman"/>
          <w:b/>
          <w:spacing w:val="-2"/>
          <w:szCs w:val="20"/>
          <w:lang w:val="nl-NL" w:eastAsia="ar-SA"/>
        </w:rPr>
        <w:sectPr w:rsidR="0036227A" w:rsidSect="005D575B">
          <w:headerReference w:type="default" r:id="rId7"/>
          <w:footerReference w:type="default" r:id="rId8"/>
          <w:headerReference w:type="first" r:id="rId9"/>
          <w:footerReference w:type="first" r:id="rId10"/>
          <w:pgSz w:w="16837" w:h="11905" w:orient="landscape"/>
          <w:pgMar w:top="1701" w:right="1418" w:bottom="1134" w:left="1701" w:header="283" w:footer="227" w:gutter="0"/>
          <w:cols w:space="720"/>
          <w:noEndnote/>
          <w:titlePg/>
          <w:docGrid w:linePitch="299"/>
        </w:sectPr>
      </w:pPr>
    </w:p>
    <w:p w:rsidR="002D180B" w:rsidRDefault="007538A3" w:rsidP="00C22F22"/>
    <w:sectPr w:rsidR="002D180B" w:rsidSect="003622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22" w:rsidRDefault="00C22F22" w:rsidP="00C22F22">
      <w:pPr>
        <w:spacing w:line="240" w:lineRule="auto"/>
      </w:pPr>
      <w:r>
        <w:separator/>
      </w:r>
    </w:p>
  </w:endnote>
  <w:endnote w:type="continuationSeparator" w:id="0">
    <w:p w:rsidR="00C22F22" w:rsidRDefault="00C22F22" w:rsidP="00C22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22" w:rsidRDefault="00C22F22">
    <w:pPr>
      <w:pStyle w:val="Footer"/>
    </w:pPr>
    <w:r w:rsidRPr="00C22F22">
      <w:rPr>
        <w:rFonts w:eastAsia="MS Mincho" w:cs="Times New Roman"/>
        <w:noProof/>
        <w:sz w:val="18"/>
        <w:szCs w:val="18"/>
      </w:rPr>
      <w:drawing>
        <wp:anchor distT="0" distB="0" distL="114300" distR="114300" simplePos="0" relativeHeight="251659264" behindDoc="1" locked="0" layoutInCell="1" allowOverlap="1" wp14:anchorId="59E9DC41" wp14:editId="7BB3889E">
          <wp:simplePos x="0" y="0"/>
          <wp:positionH relativeFrom="margin">
            <wp:posOffset>-204470</wp:posOffset>
          </wp:positionH>
          <wp:positionV relativeFrom="page">
            <wp:align>bottom</wp:align>
          </wp:positionV>
          <wp:extent cx="1625658" cy="6026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as.wmf"/>
                  <pic:cNvPicPr/>
                </pic:nvPicPr>
                <pic:blipFill>
                  <a:blip r:embed="rId1">
                    <a:extLst>
                      <a:ext uri="{28A0092B-C50C-407E-A947-70E740481C1C}">
                        <a14:useLocalDpi xmlns:a14="http://schemas.microsoft.com/office/drawing/2010/main" val="0"/>
                      </a:ext>
                    </a:extLst>
                  </a:blip>
                  <a:stretch>
                    <a:fillRect/>
                  </a:stretch>
                </pic:blipFill>
                <pic:spPr>
                  <a:xfrm>
                    <a:off x="0" y="0"/>
                    <a:ext cx="1625658" cy="602615"/>
                  </a:xfrm>
                  <a:prstGeom prst="rect">
                    <a:avLst/>
                  </a:prstGeom>
                  <a:extLst>
                    <a:ext uri="{FAA26D3D-D897-4be2-8F04-BA451C77F1D7}">
                      <ma14:placeholder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22" w:rsidRDefault="00C22F22">
    <w:pPr>
      <w:pStyle w:val="Footer"/>
    </w:pPr>
    <w:r>
      <w:rPr>
        <w:noProof/>
      </w:rPr>
      <w:drawing>
        <wp:inline distT="0" distB="0" distL="0" distR="0" wp14:anchorId="1075758A">
          <wp:extent cx="1715834"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68" cy="63963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22" w:rsidRDefault="00C22F22" w:rsidP="00C22F22">
      <w:pPr>
        <w:spacing w:line="240" w:lineRule="auto"/>
      </w:pPr>
      <w:r>
        <w:separator/>
      </w:r>
    </w:p>
  </w:footnote>
  <w:footnote w:type="continuationSeparator" w:id="0">
    <w:p w:rsidR="00C22F22" w:rsidRDefault="00C22F22" w:rsidP="00C22F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22" w:rsidRDefault="00C22F22">
    <w:pPr>
      <w:pStyle w:val="Header"/>
    </w:pPr>
    <w:r>
      <w:rPr>
        <w:noProof/>
      </w:rPr>
      <w:drawing>
        <wp:inline distT="0" distB="0" distL="0" distR="0" wp14:anchorId="634FBA57">
          <wp:extent cx="1840865" cy="70104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7010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22" w:rsidRDefault="00C22F22">
    <w:pPr>
      <w:pStyle w:val="Header"/>
    </w:pPr>
    <w:r>
      <w:rPr>
        <w:noProof/>
      </w:rPr>
      <w:drawing>
        <wp:inline distT="0" distB="0" distL="0" distR="0">
          <wp:extent cx="1838325" cy="70049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36" cy="706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01332"/>
    <w:multiLevelType w:val="singleLevel"/>
    <w:tmpl w:val="3168AAE2"/>
    <w:lvl w:ilvl="0">
      <w:start w:val="2"/>
      <w:numFmt w:val="bullet"/>
      <w:lvlText w:val="-"/>
      <w:lvlJc w:val="left"/>
      <w:pPr>
        <w:tabs>
          <w:tab w:val="num" w:pos="360"/>
        </w:tabs>
        <w:ind w:left="360" w:hanging="360"/>
      </w:pPr>
      <w:rPr>
        <w:rFonts w:ascii="Times New Roman" w:hAnsi="Times New Roman" w:hint="default"/>
      </w:rPr>
    </w:lvl>
  </w:abstractNum>
  <w:abstractNum w:abstractNumId="1">
    <w:nsid w:val="7157730F"/>
    <w:multiLevelType w:val="hybridMultilevel"/>
    <w:tmpl w:val="9D041202"/>
    <w:lvl w:ilvl="0" w:tplc="0C1CD2C6">
      <w:start w:val="1"/>
      <w:numFmt w:val="decimal"/>
      <w:pStyle w:val="Heading2"/>
      <w:lvlText w:val="%1.1."/>
      <w:lvlJc w:val="left"/>
      <w:pPr>
        <w:ind w:left="71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7A"/>
    <w:rsid w:val="0036227A"/>
    <w:rsid w:val="003F38CB"/>
    <w:rsid w:val="00536C0B"/>
    <w:rsid w:val="005D575B"/>
    <w:rsid w:val="007538A3"/>
    <w:rsid w:val="00A52140"/>
    <w:rsid w:val="00AF0DC1"/>
    <w:rsid w:val="00C2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7D631F9-C701-4DC0-8581-084BD93C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7A"/>
    <w:pPr>
      <w:spacing w:after="0" w:line="360" w:lineRule="auto"/>
    </w:pPr>
    <w:rPr>
      <w:rFonts w:ascii="Corbel" w:eastAsiaTheme="minorEastAsia" w:hAnsi="Corbel"/>
      <w:sz w:val="20"/>
      <w:lang w:val="nl-BE" w:eastAsia="nl-BE"/>
    </w:rPr>
  </w:style>
  <w:style w:type="paragraph" w:styleId="Heading2">
    <w:name w:val="heading 2"/>
    <w:basedOn w:val="Normal"/>
    <w:next w:val="Normal"/>
    <w:link w:val="Heading2Char"/>
    <w:unhideWhenUsed/>
    <w:qFormat/>
    <w:rsid w:val="0036227A"/>
    <w:pPr>
      <w:keepNext/>
      <w:keepLines/>
      <w:numPr>
        <w:numId w:val="2"/>
      </w:numPr>
      <w:spacing w:before="200"/>
      <w:outlineLvl w:val="1"/>
    </w:pPr>
    <w:rPr>
      <w:rFonts w:eastAsiaTheme="majorEastAsia" w:cstheme="majorBidi"/>
      <w:b/>
      <w:bCs/>
      <w:cap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27A"/>
    <w:rPr>
      <w:rFonts w:ascii="Corbel" w:eastAsiaTheme="majorEastAsia" w:hAnsi="Corbel" w:cstheme="majorBidi"/>
      <w:b/>
      <w:bCs/>
      <w:caps/>
      <w:color w:val="000000" w:themeColor="text1"/>
      <w:sz w:val="24"/>
      <w:szCs w:val="26"/>
      <w:lang w:val="nl-BE" w:eastAsia="nl-BE"/>
    </w:rPr>
  </w:style>
  <w:style w:type="table" w:styleId="TableGrid">
    <w:name w:val="Table Grid"/>
    <w:basedOn w:val="TableNormal"/>
    <w:rsid w:val="0036227A"/>
    <w:pPr>
      <w:spacing w:after="0" w:line="240" w:lineRule="auto"/>
    </w:pPr>
    <w:rPr>
      <w:rFonts w:eastAsiaTheme="minorEastAsia"/>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227A"/>
    <w:pPr>
      <w:ind w:left="720"/>
      <w:contextualSpacing/>
    </w:pPr>
  </w:style>
  <w:style w:type="paragraph" w:styleId="Header">
    <w:name w:val="header"/>
    <w:basedOn w:val="Normal"/>
    <w:link w:val="HeaderChar"/>
    <w:uiPriority w:val="99"/>
    <w:unhideWhenUsed/>
    <w:rsid w:val="00C22F22"/>
    <w:pPr>
      <w:tabs>
        <w:tab w:val="center" w:pos="4513"/>
        <w:tab w:val="right" w:pos="9026"/>
      </w:tabs>
      <w:spacing w:line="240" w:lineRule="auto"/>
    </w:pPr>
  </w:style>
  <w:style w:type="character" w:customStyle="1" w:styleId="HeaderChar">
    <w:name w:val="Header Char"/>
    <w:basedOn w:val="DefaultParagraphFont"/>
    <w:link w:val="Header"/>
    <w:uiPriority w:val="99"/>
    <w:rsid w:val="00C22F22"/>
    <w:rPr>
      <w:rFonts w:ascii="Corbel" w:eastAsiaTheme="minorEastAsia" w:hAnsi="Corbel"/>
      <w:sz w:val="20"/>
      <w:lang w:val="nl-BE" w:eastAsia="nl-BE"/>
    </w:rPr>
  </w:style>
  <w:style w:type="paragraph" w:styleId="Footer">
    <w:name w:val="footer"/>
    <w:basedOn w:val="Normal"/>
    <w:link w:val="FooterChar"/>
    <w:uiPriority w:val="99"/>
    <w:unhideWhenUsed/>
    <w:rsid w:val="00C22F22"/>
    <w:pPr>
      <w:tabs>
        <w:tab w:val="center" w:pos="4513"/>
        <w:tab w:val="right" w:pos="9026"/>
      </w:tabs>
      <w:spacing w:line="240" w:lineRule="auto"/>
    </w:pPr>
  </w:style>
  <w:style w:type="character" w:customStyle="1" w:styleId="FooterChar">
    <w:name w:val="Footer Char"/>
    <w:basedOn w:val="DefaultParagraphFont"/>
    <w:link w:val="Footer"/>
    <w:uiPriority w:val="99"/>
    <w:rsid w:val="00C22F22"/>
    <w:rPr>
      <w:rFonts w:ascii="Corbel" w:eastAsiaTheme="minorEastAsia" w:hAnsi="Corbel"/>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1731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Demarsin</dc:creator>
  <cp:keywords/>
  <dc:description/>
  <cp:lastModifiedBy>Anne Dejonghe</cp:lastModifiedBy>
  <cp:revision>5</cp:revision>
  <dcterms:created xsi:type="dcterms:W3CDTF">2019-08-09T10:45:00Z</dcterms:created>
  <dcterms:modified xsi:type="dcterms:W3CDTF">2019-08-09T11:02:00Z</dcterms:modified>
</cp:coreProperties>
</file>